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24" w:rsidRPr="00435624" w:rsidRDefault="00435624" w:rsidP="0043562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Зарегистрировано в Минюсте России 6 мая 2025 г. N 82069</w:t>
      </w:r>
    </w:p>
    <w:p w:rsidR="00435624" w:rsidRPr="00435624" w:rsidRDefault="00435624" w:rsidP="00435624">
      <w:pPr>
        <w:spacing w:before="765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2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435624" w:rsidRPr="00435624" w:rsidRDefault="00435624" w:rsidP="00435624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МИНИСТЕРСТВО НАУКИ И ВЫСШЕГО ОБРАЗОВАНИЯ</w:t>
      </w:r>
    </w:p>
    <w:p w:rsidR="00435624" w:rsidRPr="00435624" w:rsidRDefault="00435624" w:rsidP="00435624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РОССИЙСКОЙ ФЕДЕРАЦИИ</w:t>
      </w:r>
    </w:p>
    <w:p w:rsidR="00435624" w:rsidRPr="00435624" w:rsidRDefault="00435624" w:rsidP="00435624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ПРИКАЗ</w:t>
      </w:r>
    </w:p>
    <w:p w:rsidR="00435624" w:rsidRPr="00435624" w:rsidRDefault="00435624" w:rsidP="00435624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от 11 апреля 2025 г. N 335</w:t>
      </w:r>
    </w:p>
    <w:p w:rsidR="00435624" w:rsidRDefault="00435624" w:rsidP="004356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35624" w:rsidRPr="00435624" w:rsidRDefault="00435624" w:rsidP="004356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 ПРОДОЛЖИТЕЛЬНОСТИ</w:t>
      </w:r>
    </w:p>
    <w:p w:rsidR="00435624" w:rsidRDefault="00435624" w:rsidP="004356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РАБОЧЕГО ВРЕМЕНИ ПЕДАГОГИЧЕСКИХ РАБОТНИКОВ, ОТНЕСЕННЫХ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 ПРОФЕССОРСКО-ПРЕПОДАВАТЕЛЬСКОМУ СОСТАВУ, И О ПОРЯДКЕ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ОПРЕДЕЛЕНИЯ УЧЕБНОЙ НАГРУЗКИ УКАЗАННЫХ РАБОТНИКОВ,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ОГОВАРИВАЕМОЙ В ТРУДОВОМ ДОГОВОРЕ, ОСНОВАНИЯХ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ЕЕ ИЗМЕНЕНИЯ И СЛУЧАЯХ УСТАНОВЛЕНИЯ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4356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ВЕРХНЕГО ПРЕДЕЛА УЧЕБНОЙ НАГРУЗКИ</w:t>
      </w:r>
    </w:p>
    <w:p w:rsidR="00435624" w:rsidRPr="00435624" w:rsidRDefault="00435624" w:rsidP="00435624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35624" w:rsidRPr="00435624" w:rsidRDefault="00435624" w:rsidP="004356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hyperlink r:id="rId5" w:anchor="dst2332" w:history="1">
        <w:r w:rsidRPr="004356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третьей статьи 333</w:t>
        </w:r>
      </w:hyperlink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Трудового кодекса Российской Федерации, </w:t>
      </w:r>
      <w:hyperlink r:id="rId6" w:anchor="dst66" w:history="1">
        <w:r w:rsidRPr="004356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</w:t>
        </w:r>
      </w:hyperlink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7" w:anchor="dst9" w:history="1">
        <w:r w:rsidRPr="004356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4.2.56 пункта 4</w:t>
        </w:r>
      </w:hyperlink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435624" w:rsidRPr="00435624" w:rsidRDefault="00435624" w:rsidP="0043562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Установить продолжительность рабочего времени педагогических работников, отнесенных к профессорско-преподавательскому составу, согласно </w:t>
      </w:r>
      <w:hyperlink r:id="rId8" w:anchor="dst100011" w:history="1">
        <w:r w:rsidRPr="004356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приложению N 1</w:t>
        </w:r>
      </w:hyperlink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настоящему приказу.</w:t>
      </w:r>
    </w:p>
    <w:p w:rsidR="00435624" w:rsidRPr="00435624" w:rsidRDefault="00435624" w:rsidP="0043562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Утвердить </w:t>
      </w:r>
      <w:hyperlink r:id="rId9" w:anchor="dst100020" w:history="1">
        <w:r w:rsidRPr="004356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определения учебной нагрузки педагогических работников, отнесенных к профессорско-преподавательскому составу, оговариваемой в трудовом договоре, основания ее изменения и случаи установления верхнего предела учебной нагрузки согласно приложению N 2 к настоящему приказу.</w:t>
      </w:r>
    </w:p>
    <w:p w:rsidR="00435624" w:rsidRPr="00435624" w:rsidRDefault="00435624" w:rsidP="0043562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Настоящий приказ вступает в силу с 1 сентября 2025 года и действует до 1 сентября 2031 года.</w:t>
      </w:r>
    </w:p>
    <w:p w:rsidR="00435624" w:rsidRPr="00435624" w:rsidRDefault="00435624" w:rsidP="00435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Врио</w:t>
      </w:r>
      <w:proofErr w:type="spellEnd"/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Министра</w:t>
      </w:r>
    </w:p>
    <w:p w:rsidR="00435624" w:rsidRPr="00435624" w:rsidRDefault="00435624" w:rsidP="00435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5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А.В.ОМЕЛЬЧУК</w:t>
      </w:r>
    </w:p>
    <w:p w:rsidR="00435624" w:rsidRDefault="00435624" w:rsidP="00435624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N 1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Министерства науки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высшего образования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11 апреля 2025 г. N 335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ПРОДОЛЖИТЕЛЬНОСТЬ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РАБОЧЕГО ВРЕМЕНИ ПЕДАГОГИЧЕСКИХ РАБОТНИКОВ, ОТНЕСЕННЫХ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 ПРОФЕССОРСКО-ПРЕПОДАВАТЕЛЬСКОМУ СОСТАВУ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Продолжительность рабочего времени педагогических работников, отнесенных к профессорско-преподавательскому составу &lt;1&gt; (далее - педагогические работники), составляет 36 часов в неделю.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 </w:t>
      </w:r>
      <w:hyperlink r:id="rId10" w:anchor="dst100011" w:history="1">
        <w:r>
          <w:rPr>
            <w:rStyle w:val="a4"/>
            <w:color w:val="1A0DAB"/>
            <w:sz w:val="30"/>
            <w:szCs w:val="30"/>
          </w:rPr>
          <w:t>Подраздел 1 раздела I</w:t>
        </w:r>
      </w:hyperlink>
      <w:r>
        <w:rPr>
          <w:color w:val="000000"/>
          <w:sz w:val="30"/>
          <w:szCs w:val="30"/>
        </w:rPr>
        <w:t> 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</w:t>
      </w:r>
      <w:proofErr w:type="gramStart"/>
      <w:r>
        <w:rPr>
          <w:color w:val="000000"/>
          <w:sz w:val="30"/>
          <w:szCs w:val="30"/>
        </w:rPr>
        <w:t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</w:t>
      </w:r>
      <w:proofErr w:type="gramEnd"/>
      <w:r>
        <w:rPr>
          <w:color w:val="000000"/>
          <w:sz w:val="30"/>
          <w:szCs w:val="30"/>
        </w:rPr>
        <w:t xml:space="preserve"> иных мероприятий, проводимых с </w:t>
      </w:r>
      <w:proofErr w:type="gramStart"/>
      <w:r>
        <w:rPr>
          <w:color w:val="000000"/>
          <w:sz w:val="30"/>
          <w:szCs w:val="30"/>
        </w:rPr>
        <w:t>обучающимися</w:t>
      </w:r>
      <w:proofErr w:type="gramEnd"/>
      <w:r>
        <w:rPr>
          <w:color w:val="000000"/>
          <w:sz w:val="30"/>
          <w:szCs w:val="30"/>
        </w:rPr>
        <w:t xml:space="preserve"> &lt;2&gt;.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&lt;2&gt; </w:t>
      </w:r>
      <w:hyperlink r:id="rId11" w:anchor="dst101639" w:history="1">
        <w:r>
          <w:rPr>
            <w:rStyle w:val="a4"/>
            <w:color w:val="1A0DAB"/>
            <w:sz w:val="30"/>
            <w:szCs w:val="30"/>
          </w:rPr>
          <w:t>Часть 6 статьи 47</w:t>
        </w:r>
      </w:hyperlink>
      <w:r>
        <w:rPr>
          <w:color w:val="000000"/>
          <w:sz w:val="30"/>
          <w:szCs w:val="30"/>
        </w:rPr>
        <w:t> Федерального закона от 29 декабря 2012 г. N 273-ФЗ "Об образовании в Российской Федерации".</w:t>
      </w:r>
    </w:p>
    <w:p w:rsidR="00435624" w:rsidRDefault="00435624" w:rsidP="00435624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</w:p>
    <w:p w:rsidR="00435624" w:rsidRDefault="00435624" w:rsidP="00435624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</w:p>
    <w:p w:rsidR="00435624" w:rsidRDefault="00435624" w:rsidP="00435624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lastRenderedPageBreak/>
        <w:t>Приложение N 2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Утвержден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приказом Министерства науки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высшего образования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435624" w:rsidRDefault="00435624" w:rsidP="0043562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11 апреля 2025 г. N 335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ПОРЯДОК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ОПРЕДЕЛЕНИЯ УЧЕБНОЙ НАГРУЗКИ ПЕДАГОГИЧЕСКИХ РАБОТНИКОВ</w:t>
      </w:r>
      <w:proofErr w:type="gramStart"/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,О</w:t>
      </w:r>
      <w:proofErr w:type="gramEnd"/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ТНЕСЕННЫХ К ПРОФЕССОРСКО-ПРЕПОДАВАТЕЛЬСКОМУ СОСТАВУ,</w:t>
      </w:r>
    </w:p>
    <w:p w:rsidR="00435624" w:rsidRDefault="00435624" w:rsidP="00435624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ОГОВАРИВАЕМОЙ В ТРУДОВОМ ДОГОВОРЕ, ОСНОВАНИЯ ЕЕ ИЗМЕНЕНИЯ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И СЛУЧАИ УСТАНОВЛЕНИЯ ВЕРХНЕГО ПРЕДЕЛА УЧЕБНОЙ НАГРУЗКИ</w:t>
      </w:r>
    </w:p>
    <w:p w:rsidR="00435624" w:rsidRDefault="00435624" w:rsidP="00435624">
      <w:pPr>
        <w:pStyle w:val="aligncenter"/>
        <w:shd w:val="clear" w:color="auto" w:fill="FFFFFF"/>
        <w:spacing w:before="210" w:beforeAutospacing="0" w:after="0" w:afterAutospacing="0" w:line="450" w:lineRule="atLeast"/>
        <w:jc w:val="both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proofErr w:type="gramStart"/>
      <w:r>
        <w:rPr>
          <w:color w:val="000000"/>
          <w:sz w:val="30"/>
          <w:szCs w:val="30"/>
        </w:rPr>
        <w:t>Учебная нагрузка педагогических работников, отнесенных к профессорско-преподавательскому составу &lt;1&gt; организации, осуществляющей образовательную деятельность по образовательным программам высшего образования, соответствующим дополнительным профессиональным программам, оговариваемой в трудовом договоре (далее соответственно - учебная нагрузка, педагогические работники, организация, образовательные программы), включает выполнение учебной (преподавательской) работы во взаимодействии с обучающимися (далее - контактная работа) по видам учебной деятельности, установленным учебным планом (индивидуальным учебным планом) (далее - виды учебной</w:t>
      </w:r>
      <w:proofErr w:type="gramEnd"/>
      <w:r>
        <w:rPr>
          <w:color w:val="000000"/>
          <w:sz w:val="30"/>
          <w:szCs w:val="30"/>
        </w:rPr>
        <w:t xml:space="preserve"> деятельности), текущему контролю успеваемости, промежуточной и итоговой (государственной итоговой) аттестации </w:t>
      </w:r>
      <w:proofErr w:type="gramStart"/>
      <w:r>
        <w:rPr>
          <w:color w:val="000000"/>
          <w:sz w:val="30"/>
          <w:szCs w:val="30"/>
        </w:rPr>
        <w:t>обучающихся</w:t>
      </w:r>
      <w:proofErr w:type="gramEnd"/>
      <w:r>
        <w:rPr>
          <w:color w:val="000000"/>
          <w:sz w:val="30"/>
          <w:szCs w:val="30"/>
        </w:rPr>
        <w:t>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 </w:t>
      </w:r>
      <w:hyperlink r:id="rId12" w:anchor="dst100011" w:history="1">
        <w:r>
          <w:rPr>
            <w:rStyle w:val="a4"/>
            <w:color w:val="1A0DAB"/>
            <w:sz w:val="30"/>
            <w:szCs w:val="30"/>
          </w:rPr>
          <w:t>Подраздел 1 раздела I</w:t>
        </w:r>
      </w:hyperlink>
      <w:r>
        <w:rPr>
          <w:color w:val="000000"/>
          <w:sz w:val="30"/>
          <w:szCs w:val="30"/>
        </w:rPr>
        <w:t> 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Контактная работа определяется в соответствии с порядком организации и осуществления образовательной деятельности по образовательным программам, утвержденным в соответствии с </w:t>
      </w:r>
      <w:r>
        <w:rPr>
          <w:color w:val="000000"/>
          <w:sz w:val="30"/>
          <w:szCs w:val="30"/>
        </w:rPr>
        <w:lastRenderedPageBreak/>
        <w:t>Федеральным </w:t>
      </w:r>
      <w:hyperlink r:id="rId13" w:history="1">
        <w:r>
          <w:rPr>
            <w:rStyle w:val="a4"/>
            <w:color w:val="1A0DAB"/>
            <w:sz w:val="30"/>
            <w:szCs w:val="30"/>
          </w:rPr>
          <w:t>законом</w:t>
        </w:r>
      </w:hyperlink>
      <w:r>
        <w:rPr>
          <w:color w:val="000000"/>
          <w:sz w:val="30"/>
          <w:szCs w:val="30"/>
        </w:rPr>
        <w:t> от 29 декабря 2012 г. N 273-ФЗ "Об образовании в Российской Федерации" (далее - Федеральный закон) &lt;2&gt;.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&lt;2&gt; </w:t>
      </w:r>
      <w:hyperlink r:id="rId14" w:anchor="dst215" w:history="1">
        <w:r>
          <w:rPr>
            <w:rStyle w:val="a4"/>
            <w:color w:val="1A0DAB"/>
            <w:sz w:val="30"/>
            <w:szCs w:val="30"/>
          </w:rPr>
          <w:t>Часть 11 статьи 13</w:t>
        </w:r>
      </w:hyperlink>
      <w:r>
        <w:rPr>
          <w:color w:val="000000"/>
          <w:sz w:val="30"/>
          <w:szCs w:val="30"/>
        </w:rPr>
        <w:t>, </w:t>
      </w:r>
      <w:hyperlink r:id="rId15" w:anchor="dst505" w:history="1">
        <w:r>
          <w:rPr>
            <w:rStyle w:val="a4"/>
            <w:color w:val="1A0DAB"/>
            <w:sz w:val="30"/>
            <w:szCs w:val="30"/>
          </w:rPr>
          <w:t>часть 3 статьи 72</w:t>
        </w:r>
      </w:hyperlink>
      <w:r>
        <w:rPr>
          <w:color w:val="000000"/>
          <w:sz w:val="30"/>
          <w:szCs w:val="30"/>
        </w:rPr>
        <w:t>, </w:t>
      </w:r>
      <w:hyperlink r:id="rId16" w:anchor="dst506" w:history="1">
        <w:r>
          <w:rPr>
            <w:rStyle w:val="a4"/>
            <w:color w:val="1A0DAB"/>
            <w:sz w:val="30"/>
            <w:szCs w:val="30"/>
          </w:rPr>
          <w:t>часть 2 статьи 81</w:t>
        </w:r>
      </w:hyperlink>
      <w:r>
        <w:rPr>
          <w:color w:val="000000"/>
          <w:sz w:val="30"/>
          <w:szCs w:val="30"/>
        </w:rPr>
        <w:t>, </w:t>
      </w:r>
      <w:hyperlink r:id="rId17" w:anchor="dst278" w:history="1">
        <w:r>
          <w:rPr>
            <w:rStyle w:val="a4"/>
            <w:color w:val="1A0DAB"/>
            <w:sz w:val="30"/>
            <w:szCs w:val="30"/>
          </w:rPr>
          <w:t>часть 19 статьи 83</w:t>
        </w:r>
      </w:hyperlink>
      <w:r>
        <w:rPr>
          <w:color w:val="000000"/>
          <w:sz w:val="30"/>
          <w:szCs w:val="30"/>
        </w:rPr>
        <w:t> Федерального закона.</w:t>
      </w: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Нормы времени по видам учебной деятельности, включаемым в учебную нагрузку, самостоятельно определяются организацией и утверждаются ее локальным нормативным актом &lt;3&gt;.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&lt;3&gt; </w:t>
      </w:r>
      <w:hyperlink r:id="rId18" w:anchor="dst100445" w:history="1">
        <w:r>
          <w:rPr>
            <w:rStyle w:val="a4"/>
            <w:color w:val="1A0DAB"/>
            <w:sz w:val="30"/>
            <w:szCs w:val="30"/>
          </w:rPr>
          <w:t>Часть 2 статьи 30</w:t>
        </w:r>
      </w:hyperlink>
      <w:r>
        <w:rPr>
          <w:color w:val="000000"/>
          <w:sz w:val="30"/>
          <w:szCs w:val="30"/>
        </w:rPr>
        <w:t> Федерального закона.</w:t>
      </w:r>
    </w:p>
    <w:p w:rsidR="00435624" w:rsidRDefault="00435624" w:rsidP="0043562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</w:t>
      </w:r>
      <w:proofErr w:type="gramStart"/>
      <w:r>
        <w:rPr>
          <w:color w:val="000000"/>
          <w:sz w:val="30"/>
          <w:szCs w:val="30"/>
        </w:rPr>
        <w:t>Нормы времени по видам учебной деятельности, включаемым в учебную нагрузку, при реализации образовательных программ в области подготовки кадров в интересах обороны и безопасности государства, обеспечения законности и правопорядка в организациях, находящихся в ведении федеральных государственных органов, указанных в </w:t>
      </w:r>
      <w:hyperlink r:id="rId19" w:anchor="dst1144" w:history="1">
        <w:r>
          <w:rPr>
            <w:rStyle w:val="a4"/>
            <w:color w:val="1A0DAB"/>
            <w:sz w:val="30"/>
            <w:szCs w:val="30"/>
          </w:rPr>
          <w:t>части 1 статьи 81</w:t>
        </w:r>
      </w:hyperlink>
      <w:r>
        <w:rPr>
          <w:color w:val="000000"/>
          <w:sz w:val="30"/>
          <w:szCs w:val="30"/>
        </w:rPr>
        <w:t> Федерального закона, устанавливаются локальным нормативным актом организации по согласованию с соответствующим федеральным государственным органом.</w:t>
      </w:r>
      <w:proofErr w:type="gramEnd"/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Учебная нагрузка исчисляется в академических часах. В составе рабочего времени педагогических работников один академический час учебной нагрузки учитывается как один астрономический час рабочего времени.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Для определения учебной нагрузки ежегодно по структурным подразделениям организации, с учетом обеспечиваемых ими образовательных программ, локальным нормативным актом организации устанавливается ее средний объем, а также ее верхние пределы дифференцированно по должностям педагогических работников с учетом соответствующего отраслевого соглашения.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Учебная нагрузка каждого педагогического работника определяется в зависимости от занимаемой им должности, уровня квалификации и не может превышать верхних пределов, установленных локальным нормативным актом организации дифференцированно по должностям педагогических работников в соответствии с </w:t>
      </w:r>
      <w:hyperlink r:id="rId20" w:anchor="dst100032" w:history="1">
        <w:r>
          <w:rPr>
            <w:rStyle w:val="a4"/>
            <w:color w:val="1A0DAB"/>
            <w:sz w:val="30"/>
            <w:szCs w:val="30"/>
          </w:rPr>
          <w:t>пунктом 5</w:t>
        </w:r>
      </w:hyperlink>
      <w:r>
        <w:rPr>
          <w:color w:val="000000"/>
          <w:sz w:val="30"/>
          <w:szCs w:val="30"/>
        </w:rPr>
        <w:t> настоящего Порядка.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 Учебная нагрузка оговаривается в трудовом договоре (дополнительном соглашении к трудовому договору), заключаемом организацией с педагогическим работником.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8. </w:t>
      </w:r>
      <w:proofErr w:type="gramStart"/>
      <w:r>
        <w:rPr>
          <w:color w:val="000000"/>
          <w:sz w:val="30"/>
          <w:szCs w:val="30"/>
        </w:rPr>
        <w:t>Соотношение учебной нагрузки,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медицинской,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организации.</w:t>
      </w:r>
      <w:proofErr w:type="gramEnd"/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9. Основаниями для изменения учебной нагрузки являются: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сторону увеличения объема учебной нагрузки без учета требований о верхних пределах учебной нагрузки, установленных </w:t>
      </w:r>
      <w:hyperlink r:id="rId21" w:anchor="dst100039" w:history="1">
        <w:r>
          <w:rPr>
            <w:rStyle w:val="a4"/>
            <w:color w:val="1A0DAB"/>
            <w:sz w:val="30"/>
            <w:szCs w:val="30"/>
          </w:rPr>
          <w:t>пунктом 10</w:t>
        </w:r>
      </w:hyperlink>
      <w:r>
        <w:rPr>
          <w:color w:val="000000"/>
          <w:sz w:val="30"/>
          <w:szCs w:val="30"/>
        </w:rPr>
        <w:t> настоящего Порядка, - при замещении отсутствующих по болезни и по другим основаниям других педагогических работников, а также в случае восполнения педагогическим работником полностью или частично объема учебной нагрузки, уменьшенного ему по основаниям нахождения в ежегодном основном удлиненном оплачиваемом отпуске или в ежегодном дополнительном оплачиваемом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отпуске, на учебных сборах, в командировке, в связи с временной нетрудоспособностью, а также в иных случаях, установленных локальными нормативными актами организации, в порядке, предусмотренном </w:t>
      </w:r>
      <w:hyperlink r:id="rId22" w:anchor="dst397" w:history="1">
        <w:r>
          <w:rPr>
            <w:rStyle w:val="a4"/>
            <w:color w:val="1A0DAB"/>
            <w:sz w:val="30"/>
            <w:szCs w:val="30"/>
          </w:rPr>
          <w:t>статьей 60.2</w:t>
        </w:r>
      </w:hyperlink>
      <w:r>
        <w:rPr>
          <w:color w:val="000000"/>
          <w:sz w:val="30"/>
          <w:szCs w:val="30"/>
        </w:rPr>
        <w:t> Трудового кодекса Российской Федерации;</w:t>
      </w:r>
      <w:proofErr w:type="gramEnd"/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сторону уменьшения объема учебной нагрузки без изменения оплаты труда - в случаях, когда учебная нагрузка не может быть выполнена в связи с нахождением педагогического работника в ежегодном основном удлиненном оплачиваемом отпуске или в ежегодном дополнительном оплачиваемом отпуске, на учебных сборах, в командировке, в связи с временной нетрудоспособностью, в связи с получением дополнительного профессионального образования, а также в иных случаях, установленных</w:t>
      </w:r>
      <w:proofErr w:type="gramEnd"/>
      <w:r>
        <w:rPr>
          <w:color w:val="000000"/>
          <w:sz w:val="30"/>
          <w:szCs w:val="30"/>
        </w:rPr>
        <w:t xml:space="preserve"> локальными нормативными актами организации.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10. </w:t>
      </w:r>
      <w:proofErr w:type="gramStart"/>
      <w:r>
        <w:rPr>
          <w:color w:val="000000"/>
          <w:sz w:val="30"/>
          <w:szCs w:val="30"/>
        </w:rPr>
        <w:t>При определении средних объемов учебной нагрузки по структурным подразделениям организации и верхних пределов учебной нагрузки дифференцированно по должностям педагогических работников в соответствии с </w:t>
      </w:r>
      <w:hyperlink r:id="rId23" w:anchor="dst100032" w:history="1">
        <w:r>
          <w:rPr>
            <w:rStyle w:val="a4"/>
            <w:color w:val="1A0DAB"/>
            <w:sz w:val="30"/>
            <w:szCs w:val="30"/>
          </w:rPr>
          <w:t>пунктом 5</w:t>
        </w:r>
      </w:hyperlink>
      <w:r>
        <w:rPr>
          <w:color w:val="000000"/>
          <w:sz w:val="30"/>
          <w:szCs w:val="30"/>
        </w:rPr>
        <w:t xml:space="preserve"> настоящего Порядка учитывается, что в организациях, осуществляющих образовательную деятельность по образовательным программам высшего образования, верхний предел учебной нагрузки не должен превышать 900 часов в учебном году, в организациях, осуществляющих образовательную </w:t>
      </w:r>
      <w:r>
        <w:rPr>
          <w:color w:val="000000"/>
          <w:sz w:val="30"/>
          <w:szCs w:val="30"/>
        </w:rPr>
        <w:lastRenderedPageBreak/>
        <w:t>деятельность по дополнительным профессиональным программам</w:t>
      </w:r>
      <w:proofErr w:type="gramEnd"/>
      <w:r>
        <w:rPr>
          <w:color w:val="000000"/>
          <w:sz w:val="30"/>
          <w:szCs w:val="30"/>
        </w:rPr>
        <w:t>, верхний предел учебной нагрузки не должен превышать 800 часов в учебном году.</w:t>
      </w:r>
    </w:p>
    <w:p w:rsidR="00435624" w:rsidRDefault="00435624" w:rsidP="0043562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11. Локальные нормативные акты, предусмотренные настоящим Порядком, принимаются организацией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2A089B" w:rsidRDefault="002A089B"/>
    <w:sectPr w:rsidR="002A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4"/>
    <w:rsid w:val="002A089B"/>
    <w:rsid w:val="004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ight">
    <w:name w:val="align_right"/>
    <w:basedOn w:val="a"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ight">
    <w:name w:val="align_right"/>
    <w:basedOn w:val="a"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4818/b8c2376ce7720b3ad6af193e9b7c4e7a98832293/" TargetMode="External"/><Relationship Id="rId13" Type="http://schemas.openxmlformats.org/officeDocument/2006/relationships/hyperlink" Target="https://www.consultant.ru/document/cons_doc_LAW_495182/" TargetMode="External"/><Relationship Id="rId18" Type="http://schemas.openxmlformats.org/officeDocument/2006/relationships/hyperlink" Target="https://www.consultant.ru/document/cons_doc_LAW_495182/8f3360b0a85cddcb4c937bf8a5a92b1c86ef103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504818/04d995d940d9ff7375c7900469f6fd174db0a3aa/" TargetMode="External"/><Relationship Id="rId7" Type="http://schemas.openxmlformats.org/officeDocument/2006/relationships/hyperlink" Target="https://www.consultant.ru/document/cons_doc_LAW_503035/341665c14e89619d23dee170404de7ca42c681b9/" TargetMode="External"/><Relationship Id="rId12" Type="http://schemas.openxmlformats.org/officeDocument/2006/relationships/hyperlink" Target="https://www.consultant.ru/document/cons_doc_LAW_480743/2f9a6e00eaa21e9019f820f9173532d8c39cc19f/" TargetMode="External"/><Relationship Id="rId17" Type="http://schemas.openxmlformats.org/officeDocument/2006/relationships/hyperlink" Target="https://www.consultant.ru/document/cons_doc_LAW_495182/a5d2392110dd4d9f34c0b82fa85725f669d35d16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95182/daa986032b04cd0090591f2086305a3be10b6a24/" TargetMode="External"/><Relationship Id="rId20" Type="http://schemas.openxmlformats.org/officeDocument/2006/relationships/hyperlink" Target="https://www.consultant.ru/document/cons_doc_LAW_504818/04d995d940d9ff7375c7900469f6fd174db0a3a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3035/2ec16f76ab0c60a89f8391d704fc8aa07e221e39/" TargetMode="External"/><Relationship Id="rId11" Type="http://schemas.openxmlformats.org/officeDocument/2006/relationships/hyperlink" Target="https://www.consultant.ru/document/cons_doc_LAW_495182/72466f2c8cc0866b7dab921ae53b3ff96887e71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502632/bb999f080ef12c25c328e1b5e4ffd35319d8bea6/" TargetMode="External"/><Relationship Id="rId15" Type="http://schemas.openxmlformats.org/officeDocument/2006/relationships/hyperlink" Target="https://www.consultant.ru/document/cons_doc_LAW_495182/0756c3991bfc73c05224a6128decc86bb0881129/" TargetMode="External"/><Relationship Id="rId23" Type="http://schemas.openxmlformats.org/officeDocument/2006/relationships/hyperlink" Target="https://www.consultant.ru/document/cons_doc_LAW_504818/04d995d940d9ff7375c7900469f6fd174db0a3aa/" TargetMode="External"/><Relationship Id="rId10" Type="http://schemas.openxmlformats.org/officeDocument/2006/relationships/hyperlink" Target="https://www.consultant.ru/document/cons_doc_LAW_480743/2f9a6e00eaa21e9019f820f9173532d8c39cc19f/" TargetMode="External"/><Relationship Id="rId19" Type="http://schemas.openxmlformats.org/officeDocument/2006/relationships/hyperlink" Target="https://www.consultant.ru/document/cons_doc_LAW_495182/daa986032b04cd0090591f2086305a3be10b6a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4818/04d995d940d9ff7375c7900469f6fd174db0a3aa/" TargetMode="External"/><Relationship Id="rId14" Type="http://schemas.openxmlformats.org/officeDocument/2006/relationships/hyperlink" Target="https://www.consultant.ru/document/cons_doc_LAW_495182/96a55e6276d23fa2609de2846df744c4feecd927/" TargetMode="External"/><Relationship Id="rId22" Type="http://schemas.openxmlformats.org/officeDocument/2006/relationships/hyperlink" Target="https://www.consultant.ru/document/cons_doc_LAW_502632/b295f8b33f12effd67f0d33a5d81060ca06718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Понкратова</dc:creator>
  <cp:lastModifiedBy>Вера Понкратова</cp:lastModifiedBy>
  <cp:revision>1</cp:revision>
  <dcterms:created xsi:type="dcterms:W3CDTF">2025-05-12T16:01:00Z</dcterms:created>
  <dcterms:modified xsi:type="dcterms:W3CDTF">2025-05-12T16:28:00Z</dcterms:modified>
</cp:coreProperties>
</file>